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E679"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b/>
          <w:sz w:val="28"/>
        </w:rPr>
      </w:pPr>
      <w:r>
        <w:rPr>
          <w:b/>
          <w:sz w:val="28"/>
        </w:rPr>
        <w:t xml:space="preserve">1. METODE ZA UČENJE I USAVRŠANJE TEHNIKE  PLESA </w:t>
      </w:r>
    </w:p>
    <w:p w14:paraId="6B1988D2"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4DA2CA76"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tab/>
        <w:t>1.1  GOVORNE METODE:</w:t>
      </w:r>
    </w:p>
    <w:p w14:paraId="793DF98A"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599B19D1"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i/>
        </w:rPr>
      </w:pPr>
      <w:r>
        <w:rPr>
          <w:i/>
        </w:rPr>
        <w:t>- metoda "žive" reči,</w:t>
      </w:r>
    </w:p>
    <w:p w14:paraId="2E3A5C57"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i/>
        </w:rPr>
      </w:pPr>
      <w:r>
        <w:rPr>
          <w:i/>
        </w:rPr>
        <w:t>- metoda razgovora,</w:t>
      </w:r>
    </w:p>
    <w:p w14:paraId="0FF54149"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i/>
        </w:rPr>
      </w:pPr>
      <w:r>
        <w:rPr>
          <w:i/>
        </w:rPr>
        <w:t>- metoda objašnjavanja,</w:t>
      </w:r>
    </w:p>
    <w:p w14:paraId="4ED65287"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i/>
        </w:rPr>
      </w:pPr>
      <w:r>
        <w:rPr>
          <w:i/>
        </w:rPr>
        <w:t>- učenje teksta pesme (u narodnim igrama koje se izvode uz pesmu) i</w:t>
      </w:r>
    </w:p>
    <w:p w14:paraId="0F28EA0D"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i/>
        </w:rPr>
      </w:pPr>
      <w:r>
        <w:rPr>
          <w:i/>
        </w:rPr>
        <w:t>- govorne instrukcije.</w:t>
      </w:r>
    </w:p>
    <w:p w14:paraId="2FA7A281"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4D120807"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rPr>
          <w:i/>
        </w:rPr>
        <w:tab/>
        <w:t>Metoda "žive"</w:t>
      </w:r>
      <w:r>
        <w:t xml:space="preserve"> reči se koristi pri izlaganju suštine plesnog sadržaja koji se uči ili uvežbava. U narodnim igrama: upoznavanje plesača sa mestom ili krajem iz koga su narodne igre koje se obrađuju na času, upoznavanje sa ritmom, tempom, stilom i slično. U sportskom plesu: upoznavanje plesača sa zemljom iz koje potiče konkretni ples, sa brojem taktova u minutu, sa ritmom svakog pojedinačnog koraka i figure i slično. U džez plesu: upoznavanje plesača sa suštinom plesanja u ovoj vrsti plesa, sa strukturama pokreta i kretanja, sa načinima doživljavanja pokreta i kretanja vezano za plesni sadržaj i muziku i slično. U akrobatskom rok-en-rolu: upoznavanje plesnog para sa osnovnim pravilima plesa, sa plesnim figurama, sa dozvoljenim akro-figurama i sl.</w:t>
      </w:r>
    </w:p>
    <w:p w14:paraId="47CAD43A"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4B3C8D30"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rPr>
          <w:i/>
        </w:rPr>
        <w:tab/>
        <w:t>Metodom razgovora</w:t>
      </w:r>
      <w:r>
        <w:t xml:space="preserve"> trener, nastavnik  prikuplja informacije o svemu što smatra važnim da zna kada je u pitanju učenik-plesač, njegov život i rad.</w:t>
      </w:r>
    </w:p>
    <w:p w14:paraId="6D01354A"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62664354"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tab/>
        <w:t>M</w:t>
      </w:r>
      <w:r>
        <w:rPr>
          <w:i/>
        </w:rPr>
        <w:t>etoda objašnjenja</w:t>
      </w:r>
      <w:r>
        <w:t xml:space="preserve">  se najčešće primenjuje, kako na časovima plesa i na treninzima, tako i na takmičenjima. Bez objašnjenja se ne može zamisliti ni jedan način učenja plesne tehnike, ni jedan način učenja plesne koreografije, ni jedan plesni trening niti takmičenje. Kada je u pitanju proces učenja najefikasnije je kada trener ili koreograf objašnjavaju uporedo uz neposrednio pokazivanje. Pokazati i objasniti određenu tehniku je neophodno učiniti onoliko puta koliko je potrebno za stvaranje potpune vizuelne predstave. Konkretno objašnjenje će se razlikovati za grupu učenika ili za plesni par, jer su i postavljeni ciljevi različiti. U sportskom plesu i akrobatskom rok-en-rolu je neophodno objašnjavati posebno plesačicama, i posebno plesačima sa uporednim demonstriranjem.</w:t>
      </w:r>
    </w:p>
    <w:p w14:paraId="0831D97E"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t xml:space="preserve">Objašnjenje treba da bude konkretno, kratko i jasno. </w:t>
      </w:r>
    </w:p>
    <w:p w14:paraId="7B71606E"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t>Ukoliko se obrađuje narodna igra, treba objasniti vrste koraka,  način igranja, način hvatanja (držanja), ritam, tempo, smer kretanja i slično.</w:t>
      </w:r>
    </w:p>
    <w:p w14:paraId="478D5BDD"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t xml:space="preserve">Ukoliko se na časovima plesa u školama realizuju zadaci  narodnih igara ili društvenog plesa ili, pak nekog drugog plesa, objašnjenje treba da teče uz pokazivanje određenih elemenata tehnike. Nastavnik, npr. pokazuje osnovni korak za valcer i istovremeno govori osnovne informacije o pravcu kretanja, načinu postavljanja stopala na tlo, dužini koraka, trajanju koraka i slično. </w:t>
      </w:r>
    </w:p>
    <w:p w14:paraId="150A0986"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t>Ukoliko se na treningu sportskog plesa postavlja određena koreografija nekog takmičarskog plesa, trener, odnosno koreograf objašnjava tehniku i igru u paru do tančina. Pored objašnjenja tehnike, stila i dinamike plesnih figura, trener pokušava kod plesnog para da izazove određeno unutrašnje stanje koje takmičarski par treba plesom da prikaže. Znači, objašnjenjem utiče na izraz koji treba dočarati, odnosno pomaže plesačima da dožive ples na odgovarajući način i svoj doživljaj prenesu gledaocima.</w:t>
      </w:r>
    </w:p>
    <w:p w14:paraId="3D1C2429"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7BA4017F"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i/>
        </w:rPr>
      </w:pPr>
      <w:r>
        <w:rPr>
          <w:i/>
        </w:rPr>
        <w:t>Učenje teksta pesme</w:t>
      </w:r>
    </w:p>
    <w:p w14:paraId="5DDA65B6"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lastRenderedPageBreak/>
        <w:t>Ukoliko se narodna igra igra uz pesmu, potrebno je naučiti tekst pesme. Od strukture časa i od složenosti narodne igre zavisi da li će se tekst učiti na samom času učenja narodne igre ili će to biti izvedeno ranije. Ukoliko se uči na samom času fizičkog vaspitanja dobro je napisati na tablu jednu do tri strofe, kako bi se učenici podsećali za vreme vežbanja.</w:t>
      </w:r>
    </w:p>
    <w:p w14:paraId="1E7CEBA2"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39686AA3"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i/>
        </w:rPr>
      </w:pPr>
      <w:r>
        <w:rPr>
          <w:i/>
        </w:rPr>
        <w:t>Govorne instrukcije</w:t>
      </w:r>
    </w:p>
    <w:p w14:paraId="75CFBF4F"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t>U okvire verbalne metode mogu se svrstati svi govorni znaci sa početak izvođenja kretanja, za završetak kretanja-vežbanja, za promenu kretnog zadatka i slično. Za početak aktivnosti, se prema vrsti takta u kome se realizuje određeno kretanje, može odbrojati jedan odgovarajući takt. Obično je to: "prva-druga" ili "treća-četa" ili "druga-treća". Međutim nije pogrešno ako se upotrebi neki drugi odgovarajući termin. Ako se koristi gotova muzika preko zvučnog izvora, ukoliko se vežba narodna igra, može se odslušati muzika za jedno ponavljanje igračke celine, pa onda početi, pri čemu treba voditi računa da li se igra samo u jednom smeru ili i nadesno i nalevo. Ukoliko se na času vežba društveni ples, može nastavnik brojati određeni takt ili određeni ritam ili mogu sami učenici slušati prateću muziku, pa početi ples kada su spremni ili kada je par spreman da se uklopi u određen ritam plesne muzike.</w:t>
      </w:r>
    </w:p>
    <w:p w14:paraId="3DEB4092"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0518F915" w14:textId="77777777" w:rsidR="0076153D" w:rsidRDefault="0076153D" w:rsidP="0076153D">
      <w:pPr>
        <w:numPr>
          <w:ilvl w:val="1"/>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r>
        <w:t xml:space="preserve">METODE POKAZIVANJA </w:t>
      </w:r>
    </w:p>
    <w:p w14:paraId="2A185E84"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03EEB729"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t>Postoji dva načina pokazivanja: neposredno i posredno.</w:t>
      </w:r>
    </w:p>
    <w:p w14:paraId="77F56520"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1C357689"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rPr>
          <w:i/>
        </w:rPr>
        <w:t>Neposredno pokazivanje</w:t>
      </w:r>
      <w:r>
        <w:t xml:space="preserve"> se odnosi na pokazivanje nastavnika, trenera ili koreografa. Nastavnik, trener ili koreograf treba da bude osposobljen da prikaže konkretnu narodnu igru, konkretan društveni ples ili druge plesne kretnje  određenom tehnikom, ritmo, tempom, dinamikom i stilom. O neposrednog pokazivanja zavisi kakvu vizuelnu predstavu će učenici - plesači steći o konkretnom plesu ili plesnom elementu koji se vežba. </w:t>
      </w:r>
    </w:p>
    <w:p w14:paraId="4A112DA0"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t>Ukoliko nastavnik ili trener nije u mogućnosti korektno da demonstrira tehniku, može da angažuje drugo lice koje je za taj zadatak osposobljeno.  Ukoliko se obrađuje društveni ili sportski ples dobro je da u određenoj fazi obučavanja plesa, pokazuje plesni par kako bi se stekla celovita predstava o načinu plesanja, držanja, kretanja u prostoru. Ukoliko odgovarajući plesni par trenutno ne postoji, nastavnik, trener će posebno pokazivati muške, a posebno ženske korake. Kada određeni korak, plesnu figuru ili plesnu celinu  složi za izvođenje u parovima, može da izabere par koji zadatak najbolje realizuje i na osnovu njihovog plesanja da pokaže ples i eventualno da dodatna objašnjenja. Ukoliko, pak, nastavnik proceni (što se često dešava u školama) da ni jedan par ne može korektno da demonstrira plesni zadatak, onda on može sebi izabrati partnera ili partnerku i pokazati.</w:t>
      </w:r>
    </w:p>
    <w:p w14:paraId="10103463" w14:textId="77777777" w:rsid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t>Pokazivanje pojedinačnih plesnih elemenata treba činiti okrenut licem i okrenut leđima. Ukoliko nastavnik vežba istovremeno sa učenicima, a okrenut im je licem, pokazivaće suprotnom nogom i rukom i kretati se u suprotnom smeru (utoliko pre, ukoliko su učenici mlađeg uzrasta).</w:t>
      </w:r>
    </w:p>
    <w:p w14:paraId="4E64269B" w14:textId="5CB8F347" w:rsidR="0076153D" w:rsidRPr="0076153D" w:rsidRDefault="0076153D" w:rsidP="007615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lang w:val="sr-Cyrl-RS"/>
        </w:rPr>
      </w:pPr>
      <w:r>
        <w:rPr>
          <w:i/>
        </w:rPr>
        <w:t>Posredno pokazivanje</w:t>
      </w:r>
      <w:r>
        <w:t xml:space="preserve"> može da bude statičko (slike, crteži, sheme i slično) i dinamičko (video snimci, filmovi i sl.). Posrednim pokazivanjem mogu se pokazivati šeme konkretnih elemenata plesne tehnike, oblici kretanja u prostoru (scenska rešenja), koreografske figure, ritmovi prikazani notama ili simbolima, zavisno od uzrasta. Može da bude od posebne koristi pri učenju koreografija. Savremeno učenje plesa se ne može zamisliti bez posrednog dinamičkog pokazivanja, odnosno bez videa. Dobro bi bilo, pored pokazivanja plesanja vrhunskih plesača na takmičenjima, pokazivati  snimke plesanja njih samih  i to koristiti za ukazivanje na greške. Ukazivati na greške treba svakom paru posebno, odnosno grupi kao celini za narodne igre i džez ples.</w:t>
      </w:r>
    </w:p>
    <w:sectPr w:rsidR="0076153D" w:rsidRPr="007615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Roman YU">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4752D"/>
    <w:multiLevelType w:val="multilevel"/>
    <w:tmpl w:val="2ECA4F2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137"/>
        </w:tabs>
        <w:ind w:left="1137" w:hanging="420"/>
      </w:pPr>
      <w:rPr>
        <w:rFonts w:hint="default"/>
      </w:rPr>
    </w:lvl>
    <w:lvl w:ilvl="2">
      <w:start w:val="1"/>
      <w:numFmt w:val="decimal"/>
      <w:lvlText w:val="%1.%2.%3"/>
      <w:lvlJc w:val="left"/>
      <w:pPr>
        <w:tabs>
          <w:tab w:val="num" w:pos="2154"/>
        </w:tabs>
        <w:ind w:left="2154" w:hanging="720"/>
      </w:pPr>
      <w:rPr>
        <w:rFonts w:hint="default"/>
      </w:rPr>
    </w:lvl>
    <w:lvl w:ilvl="3">
      <w:start w:val="1"/>
      <w:numFmt w:val="decimal"/>
      <w:lvlText w:val="%1.%2.%3.%4"/>
      <w:lvlJc w:val="left"/>
      <w:pPr>
        <w:tabs>
          <w:tab w:val="num" w:pos="2871"/>
        </w:tabs>
        <w:ind w:left="2871" w:hanging="720"/>
      </w:pPr>
      <w:rPr>
        <w:rFonts w:hint="default"/>
      </w:rPr>
    </w:lvl>
    <w:lvl w:ilvl="4">
      <w:start w:val="1"/>
      <w:numFmt w:val="decimal"/>
      <w:lvlText w:val="%1.%2.%3.%4.%5"/>
      <w:lvlJc w:val="left"/>
      <w:pPr>
        <w:tabs>
          <w:tab w:val="num" w:pos="3948"/>
        </w:tabs>
        <w:ind w:left="3948" w:hanging="1080"/>
      </w:pPr>
      <w:rPr>
        <w:rFonts w:hint="default"/>
      </w:rPr>
    </w:lvl>
    <w:lvl w:ilvl="5">
      <w:start w:val="1"/>
      <w:numFmt w:val="decimal"/>
      <w:lvlText w:val="%1.%2.%3.%4.%5.%6"/>
      <w:lvlJc w:val="left"/>
      <w:pPr>
        <w:tabs>
          <w:tab w:val="num" w:pos="4665"/>
        </w:tabs>
        <w:ind w:left="4665" w:hanging="1080"/>
      </w:pPr>
      <w:rPr>
        <w:rFonts w:hint="default"/>
      </w:rPr>
    </w:lvl>
    <w:lvl w:ilvl="6">
      <w:start w:val="1"/>
      <w:numFmt w:val="decimal"/>
      <w:lvlText w:val="%1.%2.%3.%4.%5.%6.%7"/>
      <w:lvlJc w:val="left"/>
      <w:pPr>
        <w:tabs>
          <w:tab w:val="num" w:pos="5742"/>
        </w:tabs>
        <w:ind w:left="5742" w:hanging="1440"/>
      </w:pPr>
      <w:rPr>
        <w:rFonts w:hint="default"/>
      </w:rPr>
    </w:lvl>
    <w:lvl w:ilvl="7">
      <w:start w:val="1"/>
      <w:numFmt w:val="decimal"/>
      <w:lvlText w:val="%1.%2.%3.%4.%5.%6.%7.%8"/>
      <w:lvlJc w:val="left"/>
      <w:pPr>
        <w:tabs>
          <w:tab w:val="num" w:pos="6459"/>
        </w:tabs>
        <w:ind w:left="6459" w:hanging="1440"/>
      </w:pPr>
      <w:rPr>
        <w:rFonts w:hint="default"/>
      </w:rPr>
    </w:lvl>
    <w:lvl w:ilvl="8">
      <w:start w:val="1"/>
      <w:numFmt w:val="decimal"/>
      <w:lvlText w:val="%1.%2.%3.%4.%5.%6.%7.%8.%9"/>
      <w:lvlJc w:val="left"/>
      <w:pPr>
        <w:tabs>
          <w:tab w:val="num" w:pos="7536"/>
        </w:tabs>
        <w:ind w:left="7536" w:hanging="1800"/>
      </w:pPr>
      <w:rPr>
        <w:rFonts w:hint="default"/>
      </w:rPr>
    </w:lvl>
  </w:abstractNum>
  <w:num w:numId="1" w16cid:durableId="195155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3D"/>
    <w:rsid w:val="00727A40"/>
    <w:rsid w:val="0076153D"/>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E660D"/>
  <w15:chartTrackingRefBased/>
  <w15:docId w15:val="{7AB44B19-EEE8-3246-BAA9-8AD2747F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53D"/>
    <w:pPr>
      <w:spacing w:after="0" w:line="240" w:lineRule="auto"/>
    </w:pPr>
    <w:rPr>
      <w:rFonts w:ascii="Times Roman YU" w:eastAsia="Times New Roman" w:hAnsi="Times Roman YU" w:cs="Times New Roman"/>
      <w:color w:val="000000"/>
      <w:spacing w:val="-2"/>
      <w:kern w:val="0"/>
      <w:szCs w:val="20"/>
      <w:lang w:val="en-US"/>
      <w14:ligatures w14:val="none"/>
    </w:rPr>
  </w:style>
  <w:style w:type="paragraph" w:styleId="Heading1">
    <w:name w:val="heading 1"/>
    <w:basedOn w:val="Normal"/>
    <w:next w:val="Normal"/>
    <w:link w:val="Heading1Char"/>
    <w:uiPriority w:val="9"/>
    <w:qFormat/>
    <w:rsid w:val="007615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15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15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15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15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15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5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5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5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5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15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15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15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15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1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53D"/>
    <w:rPr>
      <w:rFonts w:eastAsiaTheme="majorEastAsia" w:cstheme="majorBidi"/>
      <w:color w:val="272727" w:themeColor="text1" w:themeTint="D8"/>
    </w:rPr>
  </w:style>
  <w:style w:type="paragraph" w:styleId="Title">
    <w:name w:val="Title"/>
    <w:basedOn w:val="Normal"/>
    <w:next w:val="Normal"/>
    <w:link w:val="TitleChar"/>
    <w:uiPriority w:val="10"/>
    <w:qFormat/>
    <w:rsid w:val="007615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5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53D"/>
    <w:pPr>
      <w:spacing w:before="160"/>
      <w:jc w:val="center"/>
    </w:pPr>
    <w:rPr>
      <w:i/>
      <w:iCs/>
      <w:color w:val="404040" w:themeColor="text1" w:themeTint="BF"/>
    </w:rPr>
  </w:style>
  <w:style w:type="character" w:customStyle="1" w:styleId="QuoteChar">
    <w:name w:val="Quote Char"/>
    <w:basedOn w:val="DefaultParagraphFont"/>
    <w:link w:val="Quote"/>
    <w:uiPriority w:val="29"/>
    <w:rsid w:val="0076153D"/>
    <w:rPr>
      <w:i/>
      <w:iCs/>
      <w:color w:val="404040" w:themeColor="text1" w:themeTint="BF"/>
    </w:rPr>
  </w:style>
  <w:style w:type="paragraph" w:styleId="ListParagraph">
    <w:name w:val="List Paragraph"/>
    <w:basedOn w:val="Normal"/>
    <w:uiPriority w:val="34"/>
    <w:qFormat/>
    <w:rsid w:val="0076153D"/>
    <w:pPr>
      <w:ind w:left="720"/>
      <w:contextualSpacing/>
    </w:pPr>
  </w:style>
  <w:style w:type="character" w:styleId="IntenseEmphasis">
    <w:name w:val="Intense Emphasis"/>
    <w:basedOn w:val="DefaultParagraphFont"/>
    <w:uiPriority w:val="21"/>
    <w:qFormat/>
    <w:rsid w:val="0076153D"/>
    <w:rPr>
      <w:i/>
      <w:iCs/>
      <w:color w:val="2F5496" w:themeColor="accent1" w:themeShade="BF"/>
    </w:rPr>
  </w:style>
  <w:style w:type="paragraph" w:styleId="IntenseQuote">
    <w:name w:val="Intense Quote"/>
    <w:basedOn w:val="Normal"/>
    <w:next w:val="Normal"/>
    <w:link w:val="IntenseQuoteChar"/>
    <w:uiPriority w:val="30"/>
    <w:qFormat/>
    <w:rsid w:val="00761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153D"/>
    <w:rPr>
      <w:i/>
      <w:iCs/>
      <w:color w:val="2F5496" w:themeColor="accent1" w:themeShade="BF"/>
    </w:rPr>
  </w:style>
  <w:style w:type="character" w:styleId="IntenseReference">
    <w:name w:val="Intense Reference"/>
    <w:basedOn w:val="DefaultParagraphFont"/>
    <w:uiPriority w:val="32"/>
    <w:qFormat/>
    <w:rsid w:val="007615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5705</Characters>
  <Application>Microsoft Office Word</Application>
  <DocSecurity>0</DocSecurity>
  <Lines>47</Lines>
  <Paragraphs>13</Paragraphs>
  <ScaleCrop>false</ScaleCrop>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Herodek</dc:creator>
  <cp:keywords/>
  <dc:description/>
  <cp:lastModifiedBy>Romina Herodek</cp:lastModifiedBy>
  <cp:revision>1</cp:revision>
  <dcterms:created xsi:type="dcterms:W3CDTF">2026-05-25T20:03:00Z</dcterms:created>
  <dcterms:modified xsi:type="dcterms:W3CDTF">2026-05-25T20:03:00Z</dcterms:modified>
</cp:coreProperties>
</file>